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C6D7C"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0921C3">
        <w:rPr>
          <w:rFonts w:ascii="Century Gothic" w:eastAsia="Times New Roman" w:hAnsi="Century Gothic" w:cs="Verdana"/>
          <w:b/>
          <w:sz w:val="28"/>
          <w:szCs w:val="28"/>
          <w:lang w:val="es-ES" w:eastAsia="es-ES"/>
        </w:rPr>
        <w:t xml:space="preserve"> </w:t>
      </w:r>
      <w:r w:rsidR="000B2FCF">
        <w:rPr>
          <w:rFonts w:ascii="Century Gothic" w:eastAsia="Times New Roman" w:hAnsi="Century Gothic" w:cs="Verdana"/>
          <w:b/>
          <w:sz w:val="28"/>
          <w:szCs w:val="28"/>
          <w:lang w:val="es-ES" w:eastAsia="es-ES"/>
        </w:rPr>
        <w:t>QUINTA</w:t>
      </w:r>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7227DD">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 </w:t>
      </w:r>
      <w:r w:rsidR="000B2FCF">
        <w:rPr>
          <w:rFonts w:ascii="Century Gothic" w:eastAsia="Times New Roman" w:hAnsi="Century Gothic" w:cs="Verdana"/>
          <w:b/>
          <w:sz w:val="24"/>
          <w:szCs w:val="24"/>
          <w:lang w:val="es-ES" w:eastAsia="es-ES"/>
        </w:rPr>
        <w:t>del veinte</w:t>
      </w:r>
      <w:r w:rsidR="007227DD">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124AA7">
        <w:rPr>
          <w:rFonts w:ascii="Century Gothic" w:eastAsia="Times New Roman" w:hAnsi="Century Gothic" w:cs="Verdana"/>
          <w:b/>
          <w:sz w:val="24"/>
          <w:szCs w:val="24"/>
          <w:lang w:val="es-ES" w:eastAsia="es-ES"/>
        </w:rPr>
        <w:t>Sexagésim</w:t>
      </w:r>
      <w:r w:rsidR="000B2FCF">
        <w:rPr>
          <w:rFonts w:ascii="Century Gothic" w:eastAsia="Times New Roman" w:hAnsi="Century Gothic" w:cs="Verdana"/>
          <w:b/>
          <w:sz w:val="24"/>
          <w:szCs w:val="24"/>
          <w:lang w:val="es-ES" w:eastAsia="es-ES"/>
        </w:rPr>
        <w:t>a Quinta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0B2FCF">
        <w:rPr>
          <w:rFonts w:ascii="Century Gothic" w:hAnsi="Century Gothic"/>
          <w:b w:val="0"/>
          <w:sz w:val="24"/>
          <w:szCs w:val="24"/>
        </w:rPr>
        <w:t>1003</w:t>
      </w:r>
      <w:r w:rsidR="000A45CD">
        <w:rPr>
          <w:rFonts w:ascii="Century Gothic" w:hAnsi="Century Gothic"/>
          <w:b w:val="0"/>
          <w:sz w:val="24"/>
          <w:szCs w:val="24"/>
        </w:rPr>
        <w:t>/2019</w:t>
      </w:r>
      <w:r w:rsidR="000B2FCF">
        <w:rPr>
          <w:rFonts w:ascii="Century Gothic" w:hAnsi="Century Gothic"/>
          <w:b w:val="0"/>
          <w:sz w:val="24"/>
          <w:szCs w:val="24"/>
        </w:rPr>
        <w:t>-3</w:t>
      </w:r>
      <w:r w:rsidR="000A45CD">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2C15CD">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0B2FCF">
        <w:rPr>
          <w:rFonts w:ascii="Century Gothic" w:hAnsi="Century Gothic"/>
          <w:b w:val="0"/>
          <w:sz w:val="24"/>
          <w:szCs w:val="24"/>
        </w:rPr>
        <w:t>Quinto</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0B2FCF">
        <w:rPr>
          <w:rFonts w:ascii="Century Gothic" w:hAnsi="Century Gothic"/>
          <w:b w:val="0"/>
          <w:sz w:val="24"/>
          <w:szCs w:val="24"/>
        </w:rPr>
        <w:t>163</w:t>
      </w:r>
      <w:r w:rsidR="004F0518" w:rsidRPr="0052553A">
        <w:rPr>
          <w:rFonts w:ascii="Century Gothic" w:hAnsi="Century Gothic"/>
          <w:b w:val="0"/>
          <w:sz w:val="24"/>
          <w:szCs w:val="24"/>
        </w:rPr>
        <w:t>/</w:t>
      </w:r>
      <w:r w:rsidR="004605A1">
        <w:rPr>
          <w:rFonts w:ascii="Century Gothic" w:hAnsi="Century Gothic"/>
          <w:b w:val="0"/>
          <w:sz w:val="24"/>
          <w:szCs w:val="24"/>
        </w:rPr>
        <w:t>201</w:t>
      </w:r>
      <w:r w:rsidR="00B11A99">
        <w:rPr>
          <w:rFonts w:ascii="Century Gothic" w:hAnsi="Century Gothic"/>
          <w:b w:val="0"/>
          <w:sz w:val="24"/>
          <w:szCs w:val="24"/>
        </w:rPr>
        <w:t>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F95943">
        <w:rPr>
          <w:rFonts w:ascii="Century Gothic" w:hAnsi="Century Gothic"/>
          <w:b w:val="0"/>
          <w:sz w:val="24"/>
          <w:szCs w:val="24"/>
        </w:rPr>
        <w:t>de Apel</w:t>
      </w:r>
      <w:r w:rsidR="00B11A99">
        <w:rPr>
          <w:rFonts w:ascii="Century Gothic" w:hAnsi="Century Gothic"/>
          <w:b w:val="0"/>
          <w:sz w:val="24"/>
          <w:szCs w:val="24"/>
        </w:rPr>
        <w:t xml:space="preserve">ación </w:t>
      </w:r>
      <w:r w:rsidR="000B2FCF">
        <w:rPr>
          <w:rFonts w:ascii="Century Gothic" w:hAnsi="Century Gothic"/>
          <w:b w:val="0"/>
          <w:sz w:val="24"/>
          <w:szCs w:val="24"/>
        </w:rPr>
        <w:t>101</w:t>
      </w:r>
      <w:r w:rsidR="00B11A99">
        <w:rPr>
          <w:rFonts w:ascii="Century Gothic" w:hAnsi="Century Gothic"/>
          <w:b w:val="0"/>
          <w:sz w:val="24"/>
          <w:szCs w:val="24"/>
        </w:rPr>
        <w:t>/201</w:t>
      </w:r>
      <w:r w:rsidR="000B2FCF">
        <w:rPr>
          <w:rFonts w:ascii="Century Gothic" w:hAnsi="Century Gothic"/>
          <w:b w:val="0"/>
          <w:sz w:val="24"/>
          <w:szCs w:val="24"/>
        </w:rPr>
        <w:t>9</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0B2FCF">
        <w:rPr>
          <w:rFonts w:ascii="Century Gothic" w:hAnsi="Century Gothic"/>
          <w:b w:val="0"/>
          <w:sz w:val="24"/>
          <w:szCs w:val="24"/>
        </w:rPr>
        <w:t>163</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0B2FCF">
        <w:rPr>
          <w:rFonts w:ascii="Century Gothic" w:hAnsi="Century Gothic"/>
          <w:b w:val="0"/>
          <w:sz w:val="24"/>
          <w:szCs w:val="24"/>
        </w:rPr>
        <w:t xml:space="preserve"> Quinto</w:t>
      </w:r>
      <w:r w:rsidR="00F95943">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0B2FCF">
              <w:rPr>
                <w:rFonts w:eastAsia="Calibri"/>
                <w:b/>
                <w:szCs w:val="24"/>
              </w:rPr>
              <w:t>65</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F95943" w:rsidRPr="0052553A">
        <w:rPr>
          <w:rFonts w:ascii="Century Gothic" w:hAnsi="Century Gothic"/>
          <w:b w:val="0"/>
          <w:sz w:val="24"/>
          <w:szCs w:val="24"/>
        </w:rPr>
        <w:t>de</w:t>
      </w:r>
      <w:r w:rsidR="00F95943">
        <w:rPr>
          <w:rFonts w:ascii="Century Gothic" w:hAnsi="Century Gothic"/>
          <w:b w:val="0"/>
          <w:sz w:val="24"/>
          <w:szCs w:val="24"/>
        </w:rPr>
        <w:t>l</w:t>
      </w:r>
      <w:r w:rsidR="000B2FCF">
        <w:rPr>
          <w:rFonts w:ascii="Century Gothic" w:hAnsi="Century Gothic"/>
          <w:b w:val="0"/>
          <w:sz w:val="24"/>
          <w:szCs w:val="24"/>
        </w:rPr>
        <w:t xml:space="preserve"> oficio 1003</w:t>
      </w:r>
      <w:r w:rsidR="000A45CD">
        <w:rPr>
          <w:rFonts w:ascii="Century Gothic" w:hAnsi="Century Gothic"/>
          <w:b w:val="0"/>
          <w:sz w:val="24"/>
          <w:szCs w:val="24"/>
        </w:rPr>
        <w:t>/2019</w:t>
      </w:r>
      <w:r w:rsidR="000B2FCF">
        <w:rPr>
          <w:rFonts w:ascii="Century Gothic" w:hAnsi="Century Gothic"/>
          <w:b w:val="0"/>
          <w:sz w:val="24"/>
          <w:szCs w:val="24"/>
        </w:rPr>
        <w:t>-3</w:t>
      </w:r>
      <w:r w:rsidR="000A45CD">
        <w:rPr>
          <w:rFonts w:ascii="Century Gothic" w:hAnsi="Century Gothic"/>
          <w:b w:val="0"/>
          <w:sz w:val="24"/>
          <w:szCs w:val="24"/>
        </w:rPr>
        <w:t xml:space="preserve"> </w:t>
      </w:r>
      <w:r w:rsidR="00F95943" w:rsidRPr="0052553A">
        <w:rPr>
          <w:rFonts w:ascii="Century Gothic" w:hAnsi="Century Gothic"/>
          <w:b w:val="0"/>
          <w:sz w:val="24"/>
          <w:szCs w:val="24"/>
        </w:rPr>
        <w:t>que remite</w:t>
      </w:r>
      <w:r w:rsidR="00F95943">
        <w:rPr>
          <w:rFonts w:ascii="Century Gothic" w:hAnsi="Century Gothic"/>
          <w:b w:val="0"/>
          <w:sz w:val="24"/>
          <w:szCs w:val="24"/>
        </w:rPr>
        <w:t xml:space="preserve"> el</w:t>
      </w:r>
      <w:r w:rsidR="00F95943" w:rsidRPr="0052553A">
        <w:rPr>
          <w:rFonts w:ascii="Century Gothic" w:hAnsi="Century Gothic"/>
          <w:b w:val="0"/>
          <w:sz w:val="24"/>
          <w:szCs w:val="24"/>
        </w:rPr>
        <w:t xml:space="preserve"> Secretario </w:t>
      </w:r>
      <w:r w:rsidR="00F95943">
        <w:rPr>
          <w:rFonts w:ascii="Century Gothic" w:hAnsi="Century Gothic"/>
          <w:b w:val="0"/>
          <w:sz w:val="24"/>
          <w:szCs w:val="24"/>
        </w:rPr>
        <w:t xml:space="preserve">de Acuerdos del </w:t>
      </w:r>
      <w:r w:rsidR="000B2FCF">
        <w:rPr>
          <w:rFonts w:ascii="Century Gothic" w:hAnsi="Century Gothic"/>
          <w:b w:val="0"/>
          <w:sz w:val="24"/>
          <w:szCs w:val="24"/>
        </w:rPr>
        <w:t>Quin</w:t>
      </w:r>
      <w:r w:rsidR="00F95943">
        <w:rPr>
          <w:rFonts w:ascii="Century Gothic" w:hAnsi="Century Gothic"/>
          <w:b w:val="0"/>
          <w:sz w:val="24"/>
          <w:szCs w:val="24"/>
        </w:rPr>
        <w:t xml:space="preserve">to Tribunal Colegiado en Materia Administrativa del Tercer Circuito, </w:t>
      </w:r>
      <w:r w:rsidR="00F95943" w:rsidRPr="0052553A">
        <w:rPr>
          <w:rFonts w:ascii="Century Gothic" w:hAnsi="Century Gothic"/>
          <w:b w:val="0"/>
          <w:sz w:val="24"/>
          <w:szCs w:val="24"/>
        </w:rPr>
        <w:t>relativo</w:t>
      </w:r>
      <w:r w:rsidR="00F95943">
        <w:rPr>
          <w:rFonts w:ascii="Century Gothic" w:hAnsi="Century Gothic"/>
          <w:b w:val="0"/>
          <w:sz w:val="24"/>
          <w:szCs w:val="24"/>
        </w:rPr>
        <w:t xml:space="preserve"> </w:t>
      </w:r>
      <w:r w:rsidR="00F95943" w:rsidRPr="0052553A">
        <w:rPr>
          <w:rFonts w:ascii="Century Gothic" w:hAnsi="Century Gothic"/>
          <w:b w:val="0"/>
          <w:sz w:val="24"/>
          <w:szCs w:val="24"/>
        </w:rPr>
        <w:t xml:space="preserve">al Juicio de Amparo número </w:t>
      </w:r>
      <w:r w:rsidR="00E62632">
        <w:rPr>
          <w:rFonts w:ascii="Century Gothic" w:hAnsi="Century Gothic"/>
          <w:b w:val="0"/>
          <w:sz w:val="24"/>
          <w:szCs w:val="24"/>
        </w:rPr>
        <w:t>163</w:t>
      </w:r>
      <w:r w:rsidR="00F95943" w:rsidRPr="0052553A">
        <w:rPr>
          <w:rFonts w:ascii="Century Gothic" w:hAnsi="Century Gothic"/>
          <w:b w:val="0"/>
          <w:sz w:val="24"/>
          <w:szCs w:val="24"/>
        </w:rPr>
        <w:t>/</w:t>
      </w:r>
      <w:r w:rsidR="00F95943">
        <w:rPr>
          <w:rFonts w:ascii="Century Gothic" w:hAnsi="Century Gothic"/>
          <w:b w:val="0"/>
          <w:sz w:val="24"/>
          <w:szCs w:val="24"/>
        </w:rPr>
        <w:t xml:space="preserve">2019 </w:t>
      </w:r>
      <w:r w:rsidR="00F95943" w:rsidRPr="0052553A">
        <w:rPr>
          <w:rFonts w:ascii="Century Gothic" w:hAnsi="Century Gothic"/>
          <w:b w:val="0"/>
          <w:sz w:val="24"/>
          <w:szCs w:val="24"/>
        </w:rPr>
        <w:t xml:space="preserve">mediante </w:t>
      </w:r>
      <w:r w:rsidR="00F95943">
        <w:rPr>
          <w:rFonts w:ascii="Century Gothic" w:hAnsi="Century Gothic"/>
          <w:b w:val="0"/>
          <w:sz w:val="24"/>
          <w:szCs w:val="24"/>
        </w:rPr>
        <w:t>el</w:t>
      </w:r>
      <w:r w:rsidR="00F95943" w:rsidRPr="0052553A">
        <w:rPr>
          <w:rFonts w:ascii="Century Gothic" w:hAnsi="Century Gothic"/>
          <w:b w:val="0"/>
          <w:sz w:val="24"/>
          <w:szCs w:val="24"/>
        </w:rPr>
        <w:t xml:space="preserve"> cual requiere a este Tribunal por el cumplimiento de la ejecutoria del juicio de amparo referido</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F95943" w:rsidRPr="0052553A">
        <w:rPr>
          <w:rFonts w:ascii="Century Gothic" w:hAnsi="Century Gothic"/>
          <w:b w:val="0"/>
          <w:sz w:val="24"/>
          <w:szCs w:val="24"/>
        </w:rPr>
        <w:t>discusión y en su caso aprobación del proye</w:t>
      </w:r>
      <w:r w:rsidR="00F95943">
        <w:rPr>
          <w:rFonts w:ascii="Century Gothic" w:hAnsi="Century Gothic"/>
          <w:b w:val="0"/>
          <w:sz w:val="24"/>
          <w:szCs w:val="24"/>
        </w:rPr>
        <w:t>cto de senten</w:t>
      </w:r>
      <w:r w:rsidR="00E62632">
        <w:rPr>
          <w:rFonts w:ascii="Century Gothic" w:hAnsi="Century Gothic"/>
          <w:b w:val="0"/>
          <w:sz w:val="24"/>
          <w:szCs w:val="24"/>
        </w:rPr>
        <w:t>cia del expediente de Apelación 101/2019</w:t>
      </w:r>
      <w:r w:rsidR="00F95943">
        <w:rPr>
          <w:rFonts w:ascii="Century Gothic" w:hAnsi="Century Gothic"/>
          <w:b w:val="0"/>
          <w:sz w:val="24"/>
          <w:szCs w:val="24"/>
        </w:rPr>
        <w:t xml:space="preserve"> </w:t>
      </w:r>
      <w:r w:rsidR="00F95943" w:rsidRPr="0052553A">
        <w:rPr>
          <w:rFonts w:ascii="Century Gothic" w:hAnsi="Century Gothic"/>
          <w:b w:val="0"/>
          <w:sz w:val="24"/>
          <w:szCs w:val="24"/>
        </w:rPr>
        <w:t>en cumpl</w:t>
      </w:r>
      <w:r w:rsidR="00F95943">
        <w:rPr>
          <w:rFonts w:ascii="Century Gothic" w:hAnsi="Century Gothic"/>
          <w:b w:val="0"/>
          <w:sz w:val="24"/>
          <w:szCs w:val="24"/>
        </w:rPr>
        <w:t xml:space="preserve">imiento al Juicio de Amparo </w:t>
      </w:r>
      <w:r w:rsidR="00E62632">
        <w:rPr>
          <w:rFonts w:ascii="Century Gothic" w:hAnsi="Century Gothic"/>
          <w:b w:val="0"/>
          <w:sz w:val="24"/>
          <w:szCs w:val="24"/>
        </w:rPr>
        <w:t>163</w:t>
      </w:r>
      <w:r w:rsidR="00F95943">
        <w:rPr>
          <w:rFonts w:ascii="Century Gothic" w:hAnsi="Century Gothic"/>
          <w:b w:val="0"/>
          <w:sz w:val="24"/>
          <w:szCs w:val="24"/>
        </w:rPr>
        <w:t xml:space="preserve">/2019 del </w:t>
      </w:r>
      <w:r w:rsidR="00E62632">
        <w:rPr>
          <w:rFonts w:ascii="Century Gothic" w:hAnsi="Century Gothic"/>
          <w:b w:val="0"/>
          <w:sz w:val="24"/>
          <w:szCs w:val="24"/>
        </w:rPr>
        <w:t>Quin</w:t>
      </w:r>
      <w:r w:rsidR="00F95943">
        <w:rPr>
          <w:rFonts w:ascii="Century Gothic" w:hAnsi="Century Gothic"/>
          <w:b w:val="0"/>
          <w:sz w:val="24"/>
          <w:szCs w:val="24"/>
        </w:rPr>
        <w:t>to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D20043">
              <w:rPr>
                <w:rFonts w:eastAsia="Calibri"/>
                <w:b/>
                <w:szCs w:val="24"/>
              </w:rPr>
              <w:t>02/</w:t>
            </w:r>
            <w:r w:rsidR="00E62632">
              <w:rPr>
                <w:rFonts w:eastAsia="Calibri"/>
                <w:b/>
                <w:szCs w:val="24"/>
              </w:rPr>
              <w:t>65</w:t>
            </w:r>
            <w:r w:rsidRPr="0091370E">
              <w:rPr>
                <w:rFonts w:eastAsia="Calibri"/>
                <w:b/>
                <w:szCs w:val="24"/>
              </w:rPr>
              <w:t xml:space="preserve">/E/2019.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 xml:space="preserve">de la Ley Orgánica del Tribunal de Justicia </w:t>
            </w:r>
            <w:r w:rsidRPr="0091370E">
              <w:rPr>
                <w:rFonts w:eastAsia="Calibri"/>
                <w:szCs w:val="24"/>
              </w:rPr>
              <w:lastRenderedPageBreak/>
              <w:t>Administrativa del Estado de Jalisco y el artículo 18 fracciones II y VIII y 19 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F95943">
              <w:rPr>
                <w:rFonts w:eastAsia="Calibri"/>
                <w:szCs w:val="24"/>
              </w:rPr>
              <w:t>ente de Apel</w:t>
            </w:r>
            <w:r w:rsidR="00E62632">
              <w:rPr>
                <w:rFonts w:eastAsia="Calibri"/>
                <w:szCs w:val="24"/>
              </w:rPr>
              <w:t>ación 101/2019</w:t>
            </w:r>
            <w:r w:rsidR="0025193B">
              <w:rPr>
                <w:rFonts w:eastAsia="Calibri"/>
                <w:szCs w:val="24"/>
              </w:rPr>
              <w:t xml:space="preserve">. </w:t>
            </w:r>
          </w:p>
        </w:tc>
      </w:tr>
    </w:tbl>
    <w:p w:rsidR="00C43777" w:rsidRDefault="00C4377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F95943">
        <w:rPr>
          <w:b/>
          <w:szCs w:val="24"/>
        </w:rPr>
        <w:t>catorce</w:t>
      </w:r>
      <w:r w:rsidR="007005F4" w:rsidRPr="0091370E">
        <w:rPr>
          <w:b/>
          <w:szCs w:val="24"/>
        </w:rPr>
        <w:t xml:space="preserve"> horas con </w:t>
      </w:r>
      <w:r w:rsidR="00F95943">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E62632">
        <w:rPr>
          <w:b/>
          <w:szCs w:val="24"/>
        </w:rPr>
        <w:t>veinte</w:t>
      </w:r>
      <w:r w:rsidR="00F95943">
        <w:rPr>
          <w:b/>
          <w:szCs w:val="24"/>
        </w:rPr>
        <w:t xml:space="preserve"> de noviembre</w:t>
      </w:r>
      <w:r w:rsidR="0025193B">
        <w:rPr>
          <w:b/>
          <w:szCs w:val="24"/>
        </w:rPr>
        <w:t xml:space="preserve"> </w:t>
      </w:r>
      <w:r w:rsidR="0052553A" w:rsidRPr="0091370E">
        <w:rPr>
          <w:b/>
          <w:szCs w:val="24"/>
        </w:rPr>
        <w:t>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Pr>
          <w:szCs w:val="24"/>
        </w:rPr>
        <w:t>---------------------------------------------------</w:t>
      </w:r>
      <w:r w:rsidR="00E62632">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A65BFA" w:rsidRDefault="005A7F83" w:rsidP="0057173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571730" w:rsidRPr="006D625C" w:rsidRDefault="005A7F83"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bookmarkStart w:id="0" w:name="_GoBack"/>
      <w:bookmarkEnd w:id="0"/>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A7F83">
      <w:rPr>
        <w:rStyle w:val="Nmerodepgina"/>
        <w:noProof/>
      </w:rPr>
      <w:t>3</w:t>
    </w:r>
    <w:r>
      <w:rPr>
        <w:rStyle w:val="Nmerodepgina"/>
      </w:rPr>
      <w:fldChar w:fldCharType="end"/>
    </w:r>
    <w:r w:rsidR="002C15CD">
      <w:rPr>
        <w:rStyle w:val="Nmerodepgina"/>
        <w:sz w:val="18"/>
      </w:rPr>
      <w:t>/3</w:t>
    </w:r>
  </w:p>
  <w:p w:rsidR="007A710B" w:rsidRPr="0052553A" w:rsidRDefault="0087380E" w:rsidP="007A710B">
    <w:pPr>
      <w:pStyle w:val="Piedepgina"/>
      <w:jc w:val="right"/>
      <w:rPr>
        <w:rStyle w:val="Nmerodepgina"/>
        <w:rFonts w:ascii="Century Gothic" w:hAnsi="Century Gothic"/>
        <w:smallCaps/>
      </w:rPr>
    </w:pPr>
    <w:r>
      <w:rPr>
        <w:rStyle w:val="Nmerodepgina"/>
        <w:rFonts w:ascii="Century Gothic" w:hAnsi="Century Gothic"/>
        <w:smallCaps/>
      </w:rPr>
      <w:t>SEXAGÉSIMA</w:t>
    </w:r>
    <w:r w:rsidR="00E62632">
      <w:rPr>
        <w:rStyle w:val="Nmerodepgina"/>
        <w:rFonts w:ascii="Century Gothic" w:hAnsi="Century Gothic"/>
        <w:smallCaps/>
      </w:rPr>
      <w:t xml:space="preserve"> QUIN</w:t>
    </w:r>
    <w:r w:rsidR="00124AA7">
      <w:rPr>
        <w:rStyle w:val="Nmerodepgina"/>
        <w:rFonts w:ascii="Century Gothic" w:hAnsi="Century Gothic"/>
        <w:smallCaps/>
      </w:rPr>
      <w:t>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E62632" w:rsidP="007A710B">
    <w:pPr>
      <w:pStyle w:val="Piedepgina"/>
      <w:jc w:val="right"/>
      <w:rPr>
        <w:rStyle w:val="Nmerodepgina"/>
        <w:rFonts w:ascii="Century Gothic" w:hAnsi="Century Gothic"/>
        <w:smallCaps/>
      </w:rPr>
    </w:pPr>
    <w:r>
      <w:rPr>
        <w:rStyle w:val="Nmerodepgina"/>
        <w:rFonts w:ascii="Century Gothic" w:hAnsi="Century Gothic"/>
        <w:smallCaps/>
      </w:rPr>
      <w:t>VEINTE</w:t>
    </w:r>
    <w:r w:rsidR="00F95943">
      <w:rPr>
        <w:rStyle w:val="Nmerodepgina"/>
        <w:rFonts w:ascii="Century Gothic" w:hAnsi="Century Gothic"/>
        <w:smallCaps/>
      </w:rPr>
      <w:t xml:space="preserve"> DE NOVIEMBRE DE</w:t>
    </w:r>
    <w:r w:rsidR="0052553A">
      <w:rPr>
        <w:rStyle w:val="Nmerodepgina"/>
        <w:rFonts w:ascii="Century Gothic" w:hAnsi="Century Gothic"/>
        <w:smallCaps/>
      </w:rPr>
      <w:t xml:space="preserv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7A1"/>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9008-5CB6-4D60-AFCC-18FA42A2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5037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2019-12-03T16:49:00Z</cp:lastPrinted>
  <dcterms:created xsi:type="dcterms:W3CDTF">2019-12-03T17:28:00Z</dcterms:created>
  <dcterms:modified xsi:type="dcterms:W3CDTF">2019-12-03T17:50:00Z</dcterms:modified>
</cp:coreProperties>
</file>